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18" w:rsidRDefault="005C0818" w:rsidP="005C081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Abrechnungsempfehlung des BDOÄ für ärztliche Osteopathie</w:t>
      </w:r>
    </w:p>
    <w:p w:rsidR="005C0818" w:rsidRDefault="005C0818" w:rsidP="005C0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(Berufsverband deutscher osteopathischer Ärzte) </w:t>
      </w:r>
    </w:p>
    <w:p w:rsidR="005C0818" w:rsidRDefault="005C0818" w:rsidP="005C0818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Stand: September 2015</w:t>
      </w:r>
    </w:p>
    <w:p w:rsidR="005C0818" w:rsidRDefault="005C0818" w:rsidP="005C0818">
      <w:pPr>
        <w:pStyle w:val="Default"/>
      </w:pPr>
    </w:p>
    <w:p w:rsidR="005C0818" w:rsidRDefault="005C0818" w:rsidP="005C0818">
      <w:pPr>
        <w:pStyle w:val="Default"/>
      </w:pPr>
    </w:p>
    <w:p w:rsidR="005C0818" w:rsidRDefault="005C0818" w:rsidP="005C0818">
      <w:pPr>
        <w:pStyle w:val="Default"/>
      </w:pPr>
    </w:p>
    <w:p w:rsidR="005C0818" w:rsidRDefault="005C0818" w:rsidP="005C0818">
      <w:pPr>
        <w:pStyle w:val="Default"/>
      </w:pPr>
    </w:p>
    <w:tbl>
      <w:tblPr>
        <w:tblW w:w="122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851"/>
        <w:gridCol w:w="1134"/>
        <w:gridCol w:w="3348"/>
      </w:tblGrid>
      <w:tr w:rsidR="005C0818" w:rsidTr="005C081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Leistungsbezeichnung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GOÄ Nr.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Einfacher Satz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2,3 -/ 1,8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C0818" w:rsidRDefault="005C0818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2"/>
                <w:szCs w:val="22"/>
              </w:rPr>
              <w:t>facher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Satz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Beratung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4,66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10,71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Erhebung der Fremdanamnese über einen Kranken und/oder Unterweisung und Führung der Bezugsperson(en) im Zusammenhang mit der Behandlung eines Kranken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12,82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29,49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Untersuchung Organsystem/Bewegungsapparat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9,33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21,46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Untersuchung Ganzkörperstatus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15,16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34,86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Erstanamnese, Mindestdauer 60 Minuten, zur Einleitung einer osteopathischen Behandlung. Erfassung der lebensgeschichtlich relevanten Daten, welche das psychosoziale Befinden, die durchgeführten Operationen, aktuelle Medikation und alle physiologischen Systeme umfasst. Einschließlich schriftlicher Aufzeichnungen.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52,46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120,66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Anamnese, Mindestdauer 30 Minuten, zur Einleitung einer osteopathischen Behandlung. Erfassung der lebensgeschichtlich relevanten Daten, welche das psychosoziale Befinden, die durchgeführten Operationen, aktuelle Medikation und alle physiologischen Systeme umfasst. Einschließlich schriftlicher Aufzeichnungen.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26,23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60,33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Beratung zur Umstellung von krankheitsrelevanten Lebensgewohnheiten. Mindestdauer 20 Minuten.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17,49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40,23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Prüfung der kindlichen Entwicklung bezüglich der Grobmotorik, der Feinmotorik, der Sprache und des sozialen Verhaltens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715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12,82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29,49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eines Organs im Thorax, Bauch oder Becken einschließlich der </w:t>
            </w:r>
            <w:proofErr w:type="spellStart"/>
            <w:r>
              <w:rPr>
                <w:sz w:val="22"/>
                <w:szCs w:val="22"/>
              </w:rPr>
              <w:t>Aufhängesysteme</w:t>
            </w:r>
            <w:proofErr w:type="spellEnd"/>
            <w:r>
              <w:rPr>
                <w:sz w:val="22"/>
                <w:szCs w:val="22"/>
              </w:rPr>
              <w:t xml:space="preserve"> des Organs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11,66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26,81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von bis zu 3 weiteren Organen im Thorax, Bauch oder Becken, je Organ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4,66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10,72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von Thorax/Atemapparat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505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4,95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8,91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mit </w:t>
            </w:r>
            <w:proofErr w:type="spellStart"/>
            <w:r>
              <w:rPr>
                <w:sz w:val="22"/>
                <w:szCs w:val="22"/>
              </w:rPr>
              <w:t>myofascial</w:t>
            </w:r>
            <w:proofErr w:type="spellEnd"/>
            <w:r>
              <w:rPr>
                <w:sz w:val="22"/>
                <w:szCs w:val="22"/>
              </w:rPr>
              <w:t xml:space="preserve"> Release mehrerer Körperregionen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506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7,00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12,60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mit </w:t>
            </w:r>
            <w:proofErr w:type="spellStart"/>
            <w:r>
              <w:rPr>
                <w:sz w:val="22"/>
                <w:szCs w:val="22"/>
              </w:rPr>
              <w:t>myofascial</w:t>
            </w:r>
            <w:proofErr w:type="spellEnd"/>
            <w:r>
              <w:rPr>
                <w:sz w:val="22"/>
                <w:szCs w:val="22"/>
              </w:rPr>
              <w:t xml:space="preserve"> Release in einer Körperregion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507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4,66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8,39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Osteopathische Behandlung mit Muskelenergietechniken (MET) an den Extremitäten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4,08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7,34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mit funktionellen Techniken am Stamm und/oder Extremitäten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514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6,12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11,02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Dekompression entsprechend Extensionsbehandlung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515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2,22 </w:t>
            </w:r>
          </w:p>
        </w:tc>
        <w:tc>
          <w:tcPr>
            <w:tcW w:w="3348" w:type="dxa"/>
          </w:tcPr>
          <w:p w:rsidR="005C0818" w:rsidRPr="005C0818" w:rsidRDefault="005C0818">
            <w:pPr>
              <w:pStyle w:val="Default"/>
              <w:rPr>
                <w:sz w:val="22"/>
                <w:szCs w:val="22"/>
              </w:rPr>
            </w:pPr>
            <w:r w:rsidRPr="005C0818">
              <w:rPr>
                <w:sz w:val="22"/>
                <w:szCs w:val="22"/>
              </w:rPr>
              <w:t xml:space="preserve">4,00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extramuskuläre Bindegewebsmobilisierung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523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3,79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6,82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Tenderpoint – Behandlung nach Jones an den Extremitäten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525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2,04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3,67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Tenderpoint – Behandlung nach Jones an Wirbelsäule und/oder Rumpf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526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3,21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5,78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an einer Region des Neurocraniums/Viscerocraniums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714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10,49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24,13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von bis zu 3 weiteren Regionen des Neurocraniums / Viscerocraniums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717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6,41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14,74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übende Verfahren / Relaxation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846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8,74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20,10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 medizinische Behandlung multisegmentaler und somatischer Funktionsstörungen des Rumpfes (einschließlich des Brustkorbes und Beckenringes) entsprechend Einrenkung der Luxationen von Wirbelgelenken im Durchhang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2203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43,07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99,06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 medizinische Behandlung multisegmentaler und somatischer Funktionsstörungen der oberen oder unteren Extremität, entsprechend Redressement einer Beinverkrümmung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2277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33,05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76,02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Chirotherapeutischer</w:t>
            </w:r>
            <w:proofErr w:type="spellEnd"/>
            <w:r>
              <w:rPr>
                <w:sz w:val="22"/>
                <w:szCs w:val="22"/>
              </w:rPr>
              <w:t xml:space="preserve"> Eingriff an der Wirbelsäule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3306 a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8,63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19,85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der Wirbelsäule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3306W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8,63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19,85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Chirotherapeutischer</w:t>
            </w:r>
            <w:proofErr w:type="spellEnd"/>
            <w:r>
              <w:rPr>
                <w:sz w:val="22"/>
                <w:szCs w:val="22"/>
              </w:rPr>
              <w:t xml:space="preserve"> Eingriff an einem oder mehreren </w:t>
            </w:r>
            <w:proofErr w:type="spellStart"/>
            <w:r>
              <w:rPr>
                <w:sz w:val="22"/>
                <w:szCs w:val="22"/>
              </w:rPr>
              <w:t>Extremitätengelenken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3306D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8,63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19,85 </w:t>
            </w:r>
          </w:p>
        </w:tc>
      </w:tr>
      <w:tr w:rsidR="005C0818" w:rsidTr="005C08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907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Osteopathische Behandlung eines oder mehrerer </w:t>
            </w:r>
            <w:proofErr w:type="spellStart"/>
            <w:r>
              <w:rPr>
                <w:sz w:val="22"/>
                <w:szCs w:val="22"/>
              </w:rPr>
              <w:t>Extremitätengelenke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3306O </w:t>
            </w:r>
          </w:p>
        </w:tc>
        <w:tc>
          <w:tcPr>
            <w:tcW w:w="1134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8,63 </w:t>
            </w:r>
          </w:p>
        </w:tc>
        <w:tc>
          <w:tcPr>
            <w:tcW w:w="3348" w:type="dxa"/>
          </w:tcPr>
          <w:p w:rsidR="005C0818" w:rsidRDefault="005C0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19,85 </w:t>
            </w:r>
          </w:p>
        </w:tc>
      </w:tr>
    </w:tbl>
    <w:p w:rsidR="00D17DE7" w:rsidRDefault="00D17DE7"/>
    <w:sectPr w:rsidR="00D17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18"/>
    <w:rsid w:val="005C0818"/>
    <w:rsid w:val="009D5067"/>
    <w:rsid w:val="00D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15AE"/>
  <w15:chartTrackingRefBased/>
  <w15:docId w15:val="{5D26727B-E13F-4142-A243-9689756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C08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Becker</dc:creator>
  <cp:keywords/>
  <dc:description/>
  <cp:lastModifiedBy>Svenja Becker</cp:lastModifiedBy>
  <cp:revision>1</cp:revision>
  <dcterms:created xsi:type="dcterms:W3CDTF">2018-08-09T08:11:00Z</dcterms:created>
  <dcterms:modified xsi:type="dcterms:W3CDTF">2018-08-09T08:14:00Z</dcterms:modified>
</cp:coreProperties>
</file>